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7713793524) к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ст.ст. 167,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искового заявления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кредитной линии от </w:t>
      </w:r>
      <w:r>
        <w:rPr>
          <w:rStyle w:val="cat-Dategrp-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0027074285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3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суммой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 </w:t>
      </w:r>
      <w:r>
        <w:rPr>
          <w:rFonts w:ascii="Times New Roman" w:eastAsia="Times New Roman" w:hAnsi="Times New Roman" w:cs="Times New Roman"/>
          <w:sz w:val="28"/>
          <w:szCs w:val="28"/>
        </w:rPr>
        <w:t>(в связи с пропуском срока исковой 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  <w:r>
        <w:rPr>
          <w:rStyle w:val="cat-FIOgrp-10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1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2rplc-12">
    <w:name w:val="cat-Date grp-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13rplc-14">
    <w:name w:val="cat-Sum grp-1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1rplc-22">
    <w:name w:val="cat-Date grp-1 rplc-22"/>
    <w:basedOn w:val="DefaultParagraphFont"/>
  </w:style>
  <w:style w:type="character" w:customStyle="1" w:styleId="cat-FIOgrp-11rplc-23">
    <w:name w:val="cat-FIO grp-1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